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b/>
          <w:bCs/>
          <w:color w:val="000000"/>
          <w:sz w:val="21"/>
          <w:szCs w:val="21"/>
          <w:lang w:val="en"/>
        </w:rPr>
        <w:t>WHAT IS AN ANNOTATED BIBLIOGRAPHY?</w: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t>An annotated bibliography is a list of citations to books, articles, and documents. Each citation is followed by a brief (usually about 150 words) descriptive and evaluative paragraph, the annotation. The purpose of the annotation is to inform the reader of the relevance, accuracy, and quality of the sources cited.</w:t>
      </w:r>
    </w:p>
    <w:p w:rsidR="00D604CE" w:rsidRPr="00D604CE" w:rsidRDefault="00D604CE" w:rsidP="00D604CE">
      <w:pPr>
        <w:shd w:val="clear" w:color="auto" w:fill="FFFFFF"/>
        <w:spacing w:before="300" w:after="30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pict>
          <v:rect id="_x0000_i1025" style="width:0;height:0" o:hralign="center" o:hrstd="t" o:hr="t" fillcolor="#a0a0a0" stroked="f"/>
        </w:pic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b/>
          <w:bCs/>
          <w:color w:val="000000"/>
          <w:sz w:val="21"/>
          <w:szCs w:val="21"/>
          <w:lang w:val="en"/>
        </w:rPr>
        <w:t>ANNOTATIONS VS. ABSTRACTS</w: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t>Abstracts are the purely descriptive summaries often found at the beginning of scholarly journal articles or in periodical indexes. Annotations are descriptive and critical; they expose the author's point of view, clarity and appropriateness of expression, and authority.</w:t>
      </w:r>
    </w:p>
    <w:p w:rsidR="00D604CE" w:rsidRPr="00D604CE" w:rsidRDefault="00D604CE" w:rsidP="00D604CE">
      <w:pPr>
        <w:shd w:val="clear" w:color="auto" w:fill="FFFFFF"/>
        <w:spacing w:before="300" w:after="30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pict>
          <v:rect id="_x0000_i1026" style="width:0;height:0" o:hralign="center" o:hrstd="t" o:hr="t" fillcolor="#a0a0a0" stroked="f"/>
        </w:pic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b/>
          <w:bCs/>
          <w:color w:val="000000"/>
          <w:sz w:val="21"/>
          <w:szCs w:val="21"/>
          <w:lang w:val="en"/>
        </w:rPr>
        <w:t>THE PROCESS</w: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t>Creating an annotated bibliography calls for the application of a variety of intellectual skills: concise exposition, succinct analysis, and informed library research.</w: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t>First, locate and record citations to books, periodicals, and documents that may contain useful information and ideas on your topic. Briefly examine and review the actual items. Then choose those works that provide a variety of perspectives on your topic.</w: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t>Cite the book, article, or document using the appropriate style.</w: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t>Write a concise annotation that summarizes the central theme and scope of the book or article. Include one or more sentences that (a) evaluate the authority or background of the author, (b) comment on the intended audience, (c) compare or contrast this work with another you have cited, or (d) explain how this work illuminates your bibliography topic.</w:t>
      </w:r>
    </w:p>
    <w:p w:rsidR="00D604CE" w:rsidRPr="00D604CE" w:rsidRDefault="00D604CE" w:rsidP="00D604CE">
      <w:pPr>
        <w:shd w:val="clear" w:color="auto" w:fill="FFFFFF"/>
        <w:spacing w:before="300" w:after="300" w:line="240" w:lineRule="auto"/>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pict>
          <v:rect id="_x0000_i1029" style="width:0;height:0" o:hralign="center" o:hrstd="t" o:hr="t" fillcolor="#a0a0a0" stroked="f"/>
        </w:pic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b/>
          <w:bCs/>
          <w:color w:val="000000"/>
          <w:sz w:val="21"/>
          <w:szCs w:val="21"/>
          <w:lang w:val="en"/>
        </w:rPr>
        <w:t>SAMPLE ANNOTATED BIBLIOGRAPHY ENTRY FOR A JOURNAL ARTICLE</w:t>
      </w:r>
    </w:p>
    <w:p w:rsidR="00D604CE" w:rsidRPr="00D604CE" w:rsidRDefault="00D604CE" w:rsidP="00D604CE">
      <w:pPr>
        <w:shd w:val="clear" w:color="auto" w:fill="FFFFFF"/>
        <w:spacing w:after="150" w:line="240" w:lineRule="auto"/>
        <w:textAlignment w:val="top"/>
        <w:rPr>
          <w:rFonts w:ascii="Arial" w:eastAsia="Times New Roman" w:hAnsi="Arial" w:cs="Arial"/>
          <w:color w:val="000000"/>
          <w:sz w:val="21"/>
          <w:szCs w:val="21"/>
          <w:lang w:val="en"/>
        </w:rPr>
      </w:pPr>
      <w:r w:rsidRPr="00D604CE">
        <w:rPr>
          <w:rFonts w:ascii="Arial" w:eastAsia="Times New Roman" w:hAnsi="Arial" w:cs="Arial"/>
          <w:b/>
          <w:bCs/>
          <w:color w:val="000000"/>
          <w:sz w:val="21"/>
          <w:szCs w:val="21"/>
          <w:lang w:val="en"/>
        </w:rPr>
        <w:t>This example uses the MLA format</w:t>
      </w:r>
      <w:r w:rsidRPr="00D604CE">
        <w:rPr>
          <w:rFonts w:ascii="Arial" w:eastAsia="Times New Roman" w:hAnsi="Arial" w:cs="Arial"/>
          <w:color w:val="000000"/>
          <w:sz w:val="21"/>
          <w:szCs w:val="21"/>
          <w:lang w:val="en"/>
        </w:rPr>
        <w:t xml:space="preserve"> for the journal citation. NOTE: Standard MLA practice requires double spacing within citations.</w:t>
      </w:r>
    </w:p>
    <w:p w:rsidR="00D604CE" w:rsidRPr="00D604CE" w:rsidRDefault="00D604CE" w:rsidP="00D604CE">
      <w:pPr>
        <w:shd w:val="clear" w:color="auto" w:fill="FFFFFF"/>
        <w:spacing w:after="150" w:line="240" w:lineRule="auto"/>
        <w:ind w:hanging="675"/>
        <w:textAlignment w:val="top"/>
        <w:rPr>
          <w:rFonts w:ascii="Arial" w:eastAsia="Times New Roman" w:hAnsi="Arial" w:cs="Arial"/>
          <w:color w:val="000000"/>
          <w:sz w:val="21"/>
          <w:szCs w:val="21"/>
          <w:lang w:val="en"/>
        </w:rPr>
      </w:pPr>
      <w:r w:rsidRPr="00D604CE">
        <w:rPr>
          <w:rFonts w:ascii="Arial" w:eastAsia="Times New Roman" w:hAnsi="Arial" w:cs="Arial"/>
          <w:b/>
          <w:bCs/>
          <w:color w:val="000000"/>
          <w:sz w:val="21"/>
          <w:szCs w:val="21"/>
          <w:lang w:val="en"/>
        </w:rPr>
        <w:t xml:space="preserve">Waite, Linda J., Frances </w:t>
      </w:r>
      <w:proofErr w:type="spellStart"/>
      <w:r w:rsidRPr="00D604CE">
        <w:rPr>
          <w:rFonts w:ascii="Arial" w:eastAsia="Times New Roman" w:hAnsi="Arial" w:cs="Arial"/>
          <w:b/>
          <w:bCs/>
          <w:color w:val="000000"/>
          <w:sz w:val="21"/>
          <w:szCs w:val="21"/>
          <w:lang w:val="en"/>
        </w:rPr>
        <w:t>Kobrin</w:t>
      </w:r>
      <w:proofErr w:type="spellEnd"/>
      <w:r w:rsidRPr="00D604CE">
        <w:rPr>
          <w:rFonts w:ascii="Arial" w:eastAsia="Times New Roman" w:hAnsi="Arial" w:cs="Arial"/>
          <w:b/>
          <w:bCs/>
          <w:color w:val="000000"/>
          <w:sz w:val="21"/>
          <w:szCs w:val="21"/>
          <w:lang w:val="en"/>
        </w:rPr>
        <w:t xml:space="preserve"> </w:t>
      </w:r>
      <w:proofErr w:type="spellStart"/>
      <w:r w:rsidRPr="00D604CE">
        <w:rPr>
          <w:rFonts w:ascii="Arial" w:eastAsia="Times New Roman" w:hAnsi="Arial" w:cs="Arial"/>
          <w:b/>
          <w:bCs/>
          <w:color w:val="000000"/>
          <w:sz w:val="21"/>
          <w:szCs w:val="21"/>
          <w:lang w:val="en"/>
        </w:rPr>
        <w:t>Goldscheider</w:t>
      </w:r>
      <w:proofErr w:type="spellEnd"/>
      <w:r w:rsidRPr="00D604CE">
        <w:rPr>
          <w:rFonts w:ascii="Arial" w:eastAsia="Times New Roman" w:hAnsi="Arial" w:cs="Arial"/>
          <w:b/>
          <w:bCs/>
          <w:color w:val="000000"/>
          <w:sz w:val="21"/>
          <w:szCs w:val="21"/>
          <w:lang w:val="en"/>
        </w:rPr>
        <w:t xml:space="preserve">, and Christina </w:t>
      </w:r>
      <w:proofErr w:type="spellStart"/>
      <w:r w:rsidRPr="00D604CE">
        <w:rPr>
          <w:rFonts w:ascii="Arial" w:eastAsia="Times New Roman" w:hAnsi="Arial" w:cs="Arial"/>
          <w:b/>
          <w:bCs/>
          <w:color w:val="000000"/>
          <w:sz w:val="21"/>
          <w:szCs w:val="21"/>
          <w:lang w:val="en"/>
        </w:rPr>
        <w:t>Witsberger</w:t>
      </w:r>
      <w:proofErr w:type="spellEnd"/>
      <w:r w:rsidRPr="00D604CE">
        <w:rPr>
          <w:rFonts w:ascii="Arial" w:eastAsia="Times New Roman" w:hAnsi="Arial" w:cs="Arial"/>
          <w:b/>
          <w:bCs/>
          <w:color w:val="000000"/>
          <w:sz w:val="21"/>
          <w:szCs w:val="21"/>
          <w:lang w:val="en"/>
        </w:rPr>
        <w:t xml:space="preserve">. "Nonfamily Living and the Erosion of Traditional Family Orientations </w:t>
      </w:r>
      <w:proofErr w:type="gramStart"/>
      <w:r w:rsidRPr="00D604CE">
        <w:rPr>
          <w:rFonts w:ascii="Arial" w:eastAsia="Times New Roman" w:hAnsi="Arial" w:cs="Arial"/>
          <w:b/>
          <w:bCs/>
          <w:color w:val="000000"/>
          <w:sz w:val="21"/>
          <w:szCs w:val="21"/>
          <w:lang w:val="en"/>
        </w:rPr>
        <w:t>Among</w:t>
      </w:r>
      <w:proofErr w:type="gramEnd"/>
      <w:r w:rsidRPr="00D604CE">
        <w:rPr>
          <w:rFonts w:ascii="Arial" w:eastAsia="Times New Roman" w:hAnsi="Arial" w:cs="Arial"/>
          <w:b/>
          <w:bCs/>
          <w:color w:val="000000"/>
          <w:sz w:val="21"/>
          <w:szCs w:val="21"/>
          <w:lang w:val="en"/>
        </w:rPr>
        <w:t xml:space="preserve"> Young Adults." </w:t>
      </w:r>
      <w:r w:rsidRPr="00D604CE">
        <w:rPr>
          <w:rFonts w:ascii="Arial" w:eastAsia="Times New Roman" w:hAnsi="Arial" w:cs="Arial"/>
          <w:b/>
          <w:bCs/>
          <w:i/>
          <w:iCs/>
          <w:color w:val="000000"/>
          <w:sz w:val="21"/>
          <w:szCs w:val="21"/>
          <w:lang w:val="en"/>
        </w:rPr>
        <w:t>American Sociological Review</w:t>
      </w:r>
      <w:r w:rsidRPr="00D604CE">
        <w:rPr>
          <w:rFonts w:ascii="Arial" w:eastAsia="Times New Roman" w:hAnsi="Arial" w:cs="Arial"/>
          <w:b/>
          <w:bCs/>
          <w:color w:val="000000"/>
          <w:sz w:val="21"/>
          <w:szCs w:val="21"/>
          <w:lang w:val="en"/>
        </w:rPr>
        <w:t xml:space="preserve"> 51.4 (1986): 541-554. Print.</w:t>
      </w:r>
    </w:p>
    <w:p w:rsidR="00D604CE" w:rsidRPr="00D604CE" w:rsidRDefault="00D604CE" w:rsidP="00D604CE">
      <w:pPr>
        <w:shd w:val="clear" w:color="auto" w:fill="FFFFFF"/>
        <w:spacing w:line="240" w:lineRule="auto"/>
        <w:ind w:left="495"/>
        <w:textAlignment w:val="top"/>
        <w:rPr>
          <w:rFonts w:ascii="Arial" w:eastAsia="Times New Roman" w:hAnsi="Arial" w:cs="Arial"/>
          <w:color w:val="000000"/>
          <w:sz w:val="21"/>
          <w:szCs w:val="21"/>
          <w:lang w:val="en"/>
        </w:rPr>
      </w:pPr>
      <w:r w:rsidRPr="00D604CE">
        <w:rPr>
          <w:rFonts w:ascii="Arial" w:eastAsia="Times New Roman" w:hAnsi="Arial" w:cs="Arial"/>
          <w:color w:val="000000"/>
          <w:sz w:val="21"/>
          <w:szCs w:val="21"/>
          <w:lang w:val="en"/>
        </w:rPr>
        <w:t>The authors, researchers at the Rand Corporation and Brown University, use data from the National Longitudinal Surveys of Young Women and Young Men to test their hypothesis that nonfamily living by young adults alters their attitudes, values, plans, and expectations, moving them away from their belief in traditional sex roles. They find their hypothesis strongly supported in young females, while the effects were fewer in studies of young males. Increasing the time away from parents before marrying increased individualism, self-sufficiency, and changes in attitudes about families. In contrast, an earlier study by Williams cited below shows no significant gender differences in sex role attitudes as a result of nonfamily living.</w:t>
      </w:r>
    </w:p>
    <w:p w:rsidR="0080033F" w:rsidRDefault="0080033F"/>
    <w:p w:rsidR="00D604CE" w:rsidRDefault="00D604CE">
      <w:r>
        <w:t xml:space="preserve">Source:  </w:t>
      </w:r>
      <w:hyperlink r:id="rId4" w:history="1">
        <w:r w:rsidRPr="00F84CD7">
          <w:rPr>
            <w:rStyle w:val="Hyperlink"/>
          </w:rPr>
          <w:t>http://guides.library.cornell.edu/annotatedbibliography</w:t>
        </w:r>
      </w:hyperlink>
    </w:p>
    <w:p w:rsidR="00D604CE" w:rsidRDefault="00D604CE">
      <w:bookmarkStart w:id="0" w:name="_GoBack"/>
      <w:bookmarkEnd w:id="0"/>
    </w:p>
    <w:sectPr w:rsidR="00D604CE" w:rsidSect="00D60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4CE"/>
    <w:rsid w:val="0080033F"/>
    <w:rsid w:val="00D6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F347F-67B6-4DBF-BB10-6F9756BB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4CE"/>
    <w:rPr>
      <w:color w:val="0563C1" w:themeColor="hyperlink"/>
      <w:u w:val="single"/>
    </w:rPr>
  </w:style>
  <w:style w:type="paragraph" w:styleId="BalloonText">
    <w:name w:val="Balloon Text"/>
    <w:basedOn w:val="Normal"/>
    <w:link w:val="BalloonTextChar"/>
    <w:uiPriority w:val="99"/>
    <w:semiHidden/>
    <w:unhideWhenUsed/>
    <w:rsid w:val="00D60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021030">
      <w:bodyDiv w:val="1"/>
      <w:marLeft w:val="0"/>
      <w:marRight w:val="0"/>
      <w:marTop w:val="0"/>
      <w:marBottom w:val="0"/>
      <w:divBdr>
        <w:top w:val="none" w:sz="0" w:space="0" w:color="auto"/>
        <w:left w:val="none" w:sz="0" w:space="0" w:color="auto"/>
        <w:bottom w:val="none" w:sz="0" w:space="0" w:color="auto"/>
        <w:right w:val="none" w:sz="0" w:space="0" w:color="auto"/>
      </w:divBdr>
      <w:divsChild>
        <w:div w:id="1285425644">
          <w:marLeft w:val="0"/>
          <w:marRight w:val="0"/>
          <w:marTop w:val="0"/>
          <w:marBottom w:val="0"/>
          <w:divBdr>
            <w:top w:val="none" w:sz="0" w:space="0" w:color="auto"/>
            <w:left w:val="none" w:sz="0" w:space="0" w:color="auto"/>
            <w:bottom w:val="none" w:sz="0" w:space="0" w:color="auto"/>
            <w:right w:val="none" w:sz="0" w:space="0" w:color="auto"/>
          </w:divBdr>
          <w:divsChild>
            <w:div w:id="124156999">
              <w:marLeft w:val="-225"/>
              <w:marRight w:val="-225"/>
              <w:marTop w:val="0"/>
              <w:marBottom w:val="0"/>
              <w:divBdr>
                <w:top w:val="none" w:sz="0" w:space="0" w:color="auto"/>
                <w:left w:val="none" w:sz="0" w:space="0" w:color="auto"/>
                <w:bottom w:val="none" w:sz="0" w:space="0" w:color="auto"/>
                <w:right w:val="none" w:sz="0" w:space="0" w:color="auto"/>
              </w:divBdr>
              <w:divsChild>
                <w:div w:id="1699235154">
                  <w:marLeft w:val="0"/>
                  <w:marRight w:val="0"/>
                  <w:marTop w:val="0"/>
                  <w:marBottom w:val="0"/>
                  <w:divBdr>
                    <w:top w:val="none" w:sz="0" w:space="0" w:color="auto"/>
                    <w:left w:val="none" w:sz="0" w:space="0" w:color="auto"/>
                    <w:bottom w:val="none" w:sz="0" w:space="0" w:color="auto"/>
                    <w:right w:val="none" w:sz="0" w:space="0" w:color="auto"/>
                  </w:divBdr>
                  <w:divsChild>
                    <w:div w:id="698825024">
                      <w:marLeft w:val="0"/>
                      <w:marRight w:val="0"/>
                      <w:marTop w:val="0"/>
                      <w:marBottom w:val="0"/>
                      <w:divBdr>
                        <w:top w:val="none" w:sz="0" w:space="0" w:color="auto"/>
                        <w:left w:val="none" w:sz="0" w:space="0" w:color="auto"/>
                        <w:bottom w:val="none" w:sz="0" w:space="0" w:color="auto"/>
                        <w:right w:val="none" w:sz="0" w:space="0" w:color="auto"/>
                      </w:divBdr>
                      <w:divsChild>
                        <w:div w:id="515535387">
                          <w:marLeft w:val="0"/>
                          <w:marRight w:val="0"/>
                          <w:marTop w:val="0"/>
                          <w:marBottom w:val="0"/>
                          <w:divBdr>
                            <w:top w:val="none" w:sz="0" w:space="0" w:color="auto"/>
                            <w:left w:val="none" w:sz="0" w:space="0" w:color="auto"/>
                            <w:bottom w:val="none" w:sz="0" w:space="0" w:color="auto"/>
                            <w:right w:val="none" w:sz="0" w:space="0" w:color="auto"/>
                          </w:divBdr>
                          <w:divsChild>
                            <w:div w:id="300696625">
                              <w:marLeft w:val="0"/>
                              <w:marRight w:val="0"/>
                              <w:marTop w:val="0"/>
                              <w:marBottom w:val="0"/>
                              <w:divBdr>
                                <w:top w:val="none" w:sz="0" w:space="0" w:color="auto"/>
                                <w:left w:val="none" w:sz="0" w:space="0" w:color="auto"/>
                                <w:bottom w:val="none" w:sz="0" w:space="0" w:color="auto"/>
                                <w:right w:val="none" w:sz="0" w:space="0" w:color="auto"/>
                              </w:divBdr>
                              <w:divsChild>
                                <w:div w:id="2009750898">
                                  <w:marLeft w:val="0"/>
                                  <w:marRight w:val="0"/>
                                  <w:marTop w:val="0"/>
                                  <w:marBottom w:val="300"/>
                                  <w:divBdr>
                                    <w:top w:val="single" w:sz="6" w:space="0" w:color="CCCCCC"/>
                                    <w:left w:val="single" w:sz="6" w:space="0" w:color="CCCCCC"/>
                                    <w:bottom w:val="single" w:sz="6" w:space="0" w:color="CCCCCC"/>
                                    <w:right w:val="single" w:sz="6" w:space="0" w:color="CCCCCC"/>
                                  </w:divBdr>
                                  <w:divsChild>
                                    <w:div w:id="1208566888">
                                      <w:marLeft w:val="0"/>
                                      <w:marRight w:val="0"/>
                                      <w:marTop w:val="0"/>
                                      <w:marBottom w:val="0"/>
                                      <w:divBdr>
                                        <w:top w:val="none" w:sz="0" w:space="0" w:color="auto"/>
                                        <w:left w:val="none" w:sz="0" w:space="0" w:color="auto"/>
                                        <w:bottom w:val="none" w:sz="0" w:space="0" w:color="auto"/>
                                        <w:right w:val="none" w:sz="0" w:space="0" w:color="auto"/>
                                      </w:divBdr>
                                      <w:divsChild>
                                        <w:div w:id="1597904189">
                                          <w:marLeft w:val="0"/>
                                          <w:marRight w:val="0"/>
                                          <w:marTop w:val="0"/>
                                          <w:marBottom w:val="0"/>
                                          <w:divBdr>
                                            <w:top w:val="none" w:sz="0" w:space="0" w:color="auto"/>
                                            <w:left w:val="none" w:sz="0" w:space="0" w:color="auto"/>
                                            <w:bottom w:val="none" w:sz="0" w:space="0" w:color="auto"/>
                                            <w:right w:val="none" w:sz="0" w:space="0" w:color="auto"/>
                                          </w:divBdr>
                                          <w:divsChild>
                                            <w:div w:id="15004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uides.library.cornell.edu/annotatedbibliogra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Kristen J</dc:creator>
  <cp:keywords/>
  <dc:description/>
  <cp:lastModifiedBy>Starr, Kristen J</cp:lastModifiedBy>
  <cp:revision>1</cp:revision>
  <cp:lastPrinted>2015-04-14T14:49:00Z</cp:lastPrinted>
  <dcterms:created xsi:type="dcterms:W3CDTF">2015-04-14T14:47:00Z</dcterms:created>
  <dcterms:modified xsi:type="dcterms:W3CDTF">2015-04-14T14:49:00Z</dcterms:modified>
</cp:coreProperties>
</file>